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19.03.2025 N 115</w:t>
              <w:br/>
              <w:t xml:space="preserve">"Об утверждении перечня информации, включаемой в отчет об использовании лесов, порядка фиксации этой информации, формы и порядка представления отчета об использовании лесов, а также требований к формату отчета об использовании лесов в электронной форме"</w:t>
              <w:br/>
              <w:t xml:space="preserve">(Зарегистрировано в Минюсте России 11.04.2025 N 81811)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11 апреля 2025 г. N 81811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19 марта 2025 г. N 115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ПЕРЕЧНЯ</w:t>
      </w:r>
    </w:p>
    <w:p>
      <w:pPr>
        <w:pStyle w:val="2"/>
        <w:jc w:val="center"/>
      </w:pPr>
      <w:r>
        <w:rPr>
          <w:sz w:val="24"/>
        </w:rPr>
        <w:t xml:space="preserve">ИНФОРМАЦИИ, ВКЛЮЧАЕМОЙ В ОТЧЕТ ОБ ИСПОЛЬЗОВАНИИ ЛЕСОВ,</w:t>
      </w:r>
    </w:p>
    <w:p>
      <w:pPr>
        <w:pStyle w:val="2"/>
        <w:jc w:val="center"/>
      </w:pPr>
      <w:r>
        <w:rPr>
          <w:sz w:val="24"/>
        </w:rPr>
        <w:t xml:space="preserve">ПОРЯДКА ФИКСАЦИИ ЭТОЙ ИНФОРМАЦИИ, ФОРМЫ И ПОРЯДКА</w:t>
      </w:r>
    </w:p>
    <w:p>
      <w:pPr>
        <w:pStyle w:val="2"/>
        <w:jc w:val="center"/>
      </w:pPr>
      <w:r>
        <w:rPr>
          <w:sz w:val="24"/>
        </w:rPr>
        <w:t xml:space="preserve">ПРЕДСТАВЛЕНИЯ ОТЧЕТА ОБ ИСПОЛЬЗОВАНИИ ЛЕСОВ, А ТАКЖЕ</w:t>
      </w:r>
    </w:p>
    <w:p>
      <w:pPr>
        <w:pStyle w:val="2"/>
        <w:jc w:val="center"/>
      </w:pPr>
      <w:r>
        <w:rPr>
          <w:sz w:val="24"/>
        </w:rPr>
        <w:t xml:space="preserve">ТРЕБОВАНИЙ К ФОРМАТУ ОТЧЕТА ОБ ИСПОЛЬЗОВАНИИ ЛЕСОВ</w:t>
      </w:r>
    </w:p>
    <w:p>
      <w:pPr>
        <w:pStyle w:val="2"/>
        <w:jc w:val="center"/>
      </w:pPr>
      <w:r>
        <w:rPr>
          <w:sz w:val="24"/>
        </w:rPr>
        <w:t xml:space="preserve">В ЭЛЕКТРОННОЙ ФОРМЕ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4 статьи 49</w:t>
        </w:r>
      </w:hyperlink>
      <w:r>
        <w:rPr>
          <w:sz w:val="24"/>
        </w:rPr>
        <w:t xml:space="preserve"> Лесного кодекса Российской Федерации и </w:t>
      </w:r>
      <w:hyperlink w:history="0" r:id="rId9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(с изм. и доп., вступ. в силу с 01.09.2025) {КонсультантПлюс}">
        <w:r>
          <w:rPr>
            <w:sz w:val="24"/>
            <w:color w:val="0000ff"/>
          </w:rPr>
          <w:t xml:space="preserve">подпунктом 5.2.125 пункта 5</w:t>
        </w:r>
      </w:hyperlink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1219,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Утвердить:</w:t>
      </w:r>
    </w:p>
    <w:p>
      <w:pPr>
        <w:pStyle w:val="0"/>
        <w:spacing w:before="240" w:lineRule="auto"/>
        <w:ind w:firstLine="540"/>
        <w:jc w:val="both"/>
      </w:pPr>
      <w:hyperlink w:history="0" w:anchor="P39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информации, включаемой в отчет об использовании лесов, согласно приложению N 1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63" w:tooltip="Отчет об использовании лесов">
        <w:r>
          <w:rPr>
            <w:sz w:val="24"/>
            <w:color w:val="0000ff"/>
          </w:rPr>
          <w:t xml:space="preserve">форму</w:t>
        </w:r>
      </w:hyperlink>
      <w:r>
        <w:rPr>
          <w:sz w:val="24"/>
        </w:rPr>
        <w:t xml:space="preserve"> отчета об использовании лесов согласно приложению N 2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385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представления отчета об использовании лесов и фиксации информации, включаемой в отчет об использовании лесов, согласно приложению N 3 к настоящему приказу;</w:t>
      </w:r>
    </w:p>
    <w:p>
      <w:pPr>
        <w:pStyle w:val="0"/>
        <w:spacing w:before="240" w:lineRule="auto"/>
        <w:ind w:firstLine="540"/>
        <w:jc w:val="both"/>
      </w:pPr>
      <w:hyperlink w:history="0" w:anchor="P418" w:tooltip="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к формату отчета об использовании лесов в электронной форме согласно приложению N 4 к настоящему приказу.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Признать утратившим силу </w:t>
      </w:r>
      <w:hyperlink w:history="0" r:id="rId10" w:tooltip="Приказ Минприроды России от 21.08.2017 N 451 &quot;Об утверждении перечня информации, включаемой в отчет об использовании лесов, формы и порядка представления отчета об использовании лесов, а также требований к формату отчета об использовании лесов в электронной форме&quot; (Зарегистрировано в Минюсте России 22.12.2017 N 49380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Минприроды России от 21 августа 2017 г. N 451 "Об утверждении перечня информации, включаемой в отчет об использовании лесов, формы и порядка представления отчета об использовании лесов, а также требований к формату отчета об использовании лесов в электронной форме" (зарегистрирован Минюстом России 22 декабря 2017 г., регистрационный N 49380).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Настоящий приказ вступает в силу с 1 сентября 2025 г. и действует до 1 сентября 2031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Исполняющий обязанности Министра</w:t>
      </w:r>
    </w:p>
    <w:p>
      <w:pPr>
        <w:pStyle w:val="0"/>
        <w:jc w:val="right"/>
      </w:pPr>
      <w:r>
        <w:rPr>
          <w:sz w:val="24"/>
        </w:rPr>
        <w:t xml:space="preserve">К.А.ЦЫГАНОВ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19.03.2025 N 115</w:t>
      </w:r>
    </w:p>
    <w:p>
      <w:pPr>
        <w:pStyle w:val="0"/>
        <w:jc w:val="both"/>
      </w:pPr>
      <w:r>
        <w:rPr>
          <w:sz w:val="24"/>
        </w:rPr>
      </w:r>
    </w:p>
    <w:bookmarkStart w:id="39" w:name="P39"/>
    <w:bookmarkEnd w:id="39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ИНФОРМАЦИИ, ВКЛЮЧАЕМОЙ В ОТЧЕТ ОБ ИСПОЛЬЗОВАНИИ ЛЕСОВ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отчете об использовании лесов (далее - Отчет) должна содержаться информация: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об объеме заготовленной древесины и иных лесных ресурсов;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 видовом (породном) и сортиментном составе древесины;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о фактических объемах осуществляемого использования лесов нарастающим итогом с начала календарного года по состоянию на конец отчетного периода при подаче ежемесячного и годового Отчета в единицах измерения, указанных в форме Отчета, утвержденной настоящим Приказом </w:t>
      </w:r>
      <w:hyperlink w:history="0" w:anchor="P63" w:tooltip="Отчет об использовании лесов">
        <w:r>
          <w:rPr>
            <w:sz w:val="24"/>
            <w:color w:val="0000ff"/>
          </w:rPr>
          <w:t xml:space="preserve">(приложение N 2)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 фактически заготовленной или срубленной древесине на лесосеке при подаче Отчета в течение отчетного месяца (при использовании лесов в целях заготовки древесины, а также при использовании лесов в иных целях, при которых осуществлялись рубки лесных насаждений) в единицах измерения, указанных в форме Отчета, утвержденной настоящим Приказом </w:t>
      </w:r>
      <w:hyperlink w:history="0" w:anchor="P63" w:tooltip="Отчет об использовании лесов">
        <w:r>
          <w:rPr>
            <w:sz w:val="24"/>
            <w:color w:val="0000ff"/>
          </w:rPr>
          <w:t xml:space="preserve">(приложение N 2)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об использовании лесов для видов использования лесов, предусмотренных </w:t>
      </w:r>
      <w:hyperlink w:history="0" r:id="rId1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 статьи 25</w:t>
        </w:r>
      </w:hyperlink>
      <w:r>
        <w:rPr>
          <w:sz w:val="24"/>
        </w:rPr>
        <w:t xml:space="preserve"> Лесного кодекса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о мероприятиях, связанных с использованием лесов (создание объектов лесной, охотничьей, лесоперерабатывающей инфраструктуры, строительство, реконструкция, эксплуатация и демонтаж объектов, не связанных с созданием лесной инфраструктуры, рекультивация нарушенных земель);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о расположении на местности объектов, предусмотренных </w:t>
      </w:r>
      <w:hyperlink w:history="0" r:id="rId1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13</w:t>
        </w:r>
      </w:hyperlink>
      <w:r>
        <w:rPr>
          <w:sz w:val="24"/>
        </w:rPr>
        <w:t xml:space="preserve">, </w:t>
      </w:r>
      <w:hyperlink w:history="0" r:id="rId1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14</w:t>
        </w:r>
      </w:hyperlink>
      <w:r>
        <w:rPr>
          <w:sz w:val="24"/>
        </w:rPr>
        <w:t xml:space="preserve">, </w:t>
      </w:r>
      <w:hyperlink w:history="0" r:id="rId1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21</w:t>
        </w:r>
      </w:hyperlink>
      <w:r>
        <w:rPr>
          <w:sz w:val="24"/>
        </w:rPr>
        <w:t xml:space="preserve"> и </w:t>
      </w:r>
      <w:hyperlink w:history="0" r:id="rId1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21.1</w:t>
        </w:r>
      </w:hyperlink>
      <w:r>
        <w:rPr>
          <w:sz w:val="24"/>
        </w:rPr>
        <w:t xml:space="preserve"> Лесного кодекса Российской Федерации.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19.03.2025 N 115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Форма 1-ИЛ</w:t>
      </w:r>
    </w:p>
    <w:p>
      <w:pPr>
        <w:pStyle w:val="0"/>
        <w:jc w:val="both"/>
      </w:pPr>
      <w:r>
        <w:rPr>
          <w:sz w:val="24"/>
        </w:rPr>
      </w:r>
    </w:p>
    <w:bookmarkStart w:id="63" w:name="P63"/>
    <w:bookmarkEnd w:id="63"/>
    <w:p>
      <w:pPr>
        <w:pStyle w:val="0"/>
        <w:jc w:val="center"/>
      </w:pPr>
      <w:r>
        <w:rPr>
          <w:sz w:val="24"/>
        </w:rPr>
        <w:t xml:space="preserve">Отчет об использовании лесов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I. Общие сведения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2"/>
        <w:gridCol w:w="5669"/>
        <w:gridCol w:w="2834"/>
      </w:tblGrid>
      <w:tr>
        <w:tc>
          <w:tcPr>
            <w:tcW w:w="510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Отчетный период</w:t>
            </w:r>
          </w:p>
        </w:tc>
        <w:tc>
          <w:tcPr>
            <w:gridSpan w:val="2"/>
            <w:tcW w:w="85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дд.мм.гггг - дд.мм.гггг</w:t>
            </w:r>
          </w:p>
        </w:tc>
      </w:tr>
      <w:tr>
        <w:tc>
          <w:tcPr>
            <w:tcW w:w="510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органа государственной власти, органа местного самоуправления</w:t>
            </w:r>
          </w:p>
        </w:tc>
        <w:tc>
          <w:tcPr>
            <w:gridSpan w:val="2"/>
            <w:tcW w:w="85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2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Информация о лице, осуществляющем использование лесов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Полное и сокращенное (при наличии) наименования (включая организационно-правовую форму) - для юридических лиц, фамилия, имя, отчество (при наличии) - для индивидуальных предпринимателей и физических лиц</w:t>
            </w:r>
          </w:p>
        </w:tc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Идентификационный номер налогоплательщика (для юридических лиц и индивидуальных предпринимателей), серия и номер документа, удостоверяющего личность (для физических лиц)</w:t>
            </w:r>
          </w:p>
        </w:tc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2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Информация о лице, предоставившем отчет об использовании лесов (в том числе на основании доверенности)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Фамилия, имя, отчество (при наличии)</w:t>
            </w:r>
          </w:p>
        </w:tc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должность</w:t>
            </w:r>
          </w:p>
        </w:tc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основание</w:t>
            </w:r>
          </w:p>
        </w:tc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56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дата</w:t>
            </w:r>
          </w:p>
        </w:tc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дд.мм.гггг</w:t>
            </w:r>
          </w:p>
        </w:tc>
      </w:tr>
      <w:tr>
        <w:tc>
          <w:tcPr>
            <w:tcW w:w="510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Идентификационный номер документа, в том числе вид документа и его реквизиты, являющегося основанием для использования лесного участка</w:t>
            </w:r>
          </w:p>
        </w:tc>
        <w:tc>
          <w:tcPr>
            <w:gridSpan w:val="2"/>
            <w:tcW w:w="85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10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Вид (виды) использования лесов</w:t>
            </w:r>
          </w:p>
        </w:tc>
        <w:tc>
          <w:tcPr>
            <w:gridSpan w:val="2"/>
            <w:tcW w:w="850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II. Использование лесов для заготовки древесины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33"/>
        <w:gridCol w:w="850"/>
        <w:gridCol w:w="907"/>
        <w:gridCol w:w="907"/>
        <w:gridCol w:w="1020"/>
        <w:gridCol w:w="1020"/>
        <w:gridCol w:w="1077"/>
        <w:gridCol w:w="793"/>
        <w:gridCol w:w="680"/>
        <w:gridCol w:w="737"/>
        <w:gridCol w:w="793"/>
        <w:gridCol w:w="793"/>
        <w:gridCol w:w="907"/>
        <w:gridCol w:w="1133"/>
        <w:gridCol w:w="850"/>
      </w:tblGrid>
      <w:tr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лесничества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участкового лесничества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урочища (при наличии)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лесного квартала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лесотаксационного выдела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Учетный номер лесосеки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Учетный номер лесотаксационного выдела (кадастровый номер земельного участка из земель сельскохозяйственного назначения)</w:t>
            </w:r>
          </w:p>
        </w:tc>
        <w:tc>
          <w:tcPr>
            <w:tcW w:w="79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лесосеки, га </w:t>
            </w:r>
            <w:hyperlink w:history="0" w:anchor="P361" w:tooltip="&lt;1&gt; Указывается в соответствии с принятой органом государственной власти, органом местного самоуправления, определенными в соответствии со статьями 81 - 84 Лесного кодекса Российской Федерации, лесной декларацией и таксационным описанием лесосеки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  <w:tc>
          <w:tcPr>
            <w:gridSpan w:val="6"/>
            <w:tcW w:w="50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Рубки лесных насаждений</w:t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Форма рубки </w:t>
            </w:r>
            <w:hyperlink w:history="0" w:anchor="P362" w:tooltip="&lt;2&gt; Указывается форма рубки (сплошная или выборочная)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рубки </w:t>
            </w:r>
            <w:hyperlink w:history="0" w:anchor="P363" w:tooltip="&lt;3&gt; Указывается вид рубки (рубки спелых и перестойных насаждений, рубки ухода за лесами, рубки погибших и поврежденных насаждений, рубки лесных насаждений любого возраста на лесных участках, предназначенных для строительства, реконструкции и эксплуатации объектов, предусмотренных статьями 13, 14, 21 и 21.1 Лесного кодекса Российской Федерации, для выполнения работ, предусмотренных статьей 68.3 Лесного кодекса Российской Федерации)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 </w:t>
            </w:r>
            <w:hyperlink w:history="0" w:anchor="P364" w:tooltip="&lt;4&gt; Указывается хозяйство (хвойное, твердолиственное, мягколиственное)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древесины </w:t>
            </w:r>
            <w:hyperlink w:history="0" w:anchor="P365" w:tooltip="&lt;5&gt; Указывается видовой (породный) состав древесины в соответствии с перечнями древесины и продукции ее переработки, определяемых в соответствии с Общероссийским классификатором продукции по видам экономической деятельности, единой Товарной номенклатурой внешнеэкономической деятельности Евразийского экономического союза, утвержденными распоряжением Правительства Российской Федерации от 13.06.2014 N 1047-р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древесины в соответствии с Общероссийским </w:t>
            </w:r>
            <w:hyperlink w:history="0" r:id="rId18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классификатором</w:t>
              </w:r>
            </w:hyperlink>
            <w:r>
              <w:rPr>
                <w:sz w:val="24"/>
              </w:rPr>
              <w:t xml:space="preserve"> продукции по видам экономической деятельности (ОКПД 2)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древесины </w:t>
            </w:r>
            <w:hyperlink w:history="0" w:anchor="P366" w:tooltip="&lt;6&gt; Указывается объем древесины, фактически заготовленной на лесотаксационном выделе, на лесосеке (лесосеках), с точностью до одного знака после запятой, в кубических метрах.">
              <w:r>
                <w:rPr>
                  <w:sz w:val="24"/>
                  <w:color w:val="0000ff"/>
                </w:rPr>
                <w:t xml:space="preserve">&lt;6&gt;</w:t>
              </w:r>
            </w:hyperlink>
          </w:p>
        </w:tc>
      </w:tr>
      <w:tr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Итого на лесосеке (формируется автоматически)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Итого по форме рубки и хозяйству (формируется автоматически)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Итого (формируется автоматически)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III. Использование лесов в целях, не связанных</w:t>
      </w:r>
    </w:p>
    <w:p>
      <w:pPr>
        <w:pStyle w:val="0"/>
        <w:jc w:val="center"/>
      </w:pPr>
      <w:r>
        <w:rPr>
          <w:sz w:val="24"/>
        </w:rPr>
        <w:t xml:space="preserve">с заготовкой древесины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17"/>
        <w:gridCol w:w="1020"/>
        <w:gridCol w:w="1247"/>
        <w:gridCol w:w="1133"/>
        <w:gridCol w:w="1247"/>
        <w:gridCol w:w="1247"/>
        <w:gridCol w:w="1757"/>
        <w:gridCol w:w="1077"/>
        <w:gridCol w:w="1247"/>
        <w:gridCol w:w="1077"/>
        <w:gridCol w:w="1133"/>
      </w:tblGrid>
      <w:tr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использования лесов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лесничества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участкового лесничества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урочища (при наличии)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лесного квартала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лесотаксационного выдела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Учетный номер лесотаксационного выдела (кадастровый номер земельного участка из земель сельскохозяйственного назначения)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лесного участка, га </w:t>
            </w:r>
            <w:hyperlink w:history="0" w:anchor="P367" w:tooltip="&lt;7&gt; Указывается площадь представленного в пользование лесного участка, в гектарах (с точностью до четырех знаков после запятой).">
              <w:r>
                <w:rPr>
                  <w:sz w:val="24"/>
                  <w:color w:val="0000ff"/>
                </w:rPr>
                <w:t xml:space="preserve">&lt;7&gt;</w:t>
              </w:r>
            </w:hyperlink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заготавливаемых лесных ресурсов </w:t>
            </w:r>
            <w:hyperlink w:history="0" w:anchor="P368" w:tooltip="&lt;8&gt; Указываются виды заготавливаемых лесных ресурсов (пни, береста, кора деревьев и кустарников, хворост, веточный корм, еловая, пихтовая, сосновая лапы, ели или деревья других хвойных пород для новогодних праздников, мох, лесная подстилка, камыш, тростник и подобные лесные ресурсы; дикорастущие плоды, ягоды, орехи, грибы, семена, березовый сок и подобные лесные ресурсы; плоды, ягоды, декоративные растения, лекарственные растения и подобные лесные ресурсы).">
              <w:r>
                <w:rPr>
                  <w:sz w:val="24"/>
                  <w:color w:val="0000ff"/>
                </w:rPr>
                <w:t xml:space="preserve">&lt;8&gt;</w:t>
              </w:r>
            </w:hyperlink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 </w:t>
            </w:r>
            <w:hyperlink w:history="0" w:anchor="P369" w:tooltip="&lt;9&gt; Указывается единица измерения для заготовки живицы, лесных ресурсов по их видам (недревесных лесных ресурсов, пищевых лесных ресурсов, лекарственных растений), в соответствии с постановлением Правительства Российской Федерации от 22.05.2007 N 310 &quot;О ставках платы за единицу объема лесных ресурсов и ставках платы за единицу площади лесного участка, находящегося в федеральной собственности&quot;.">
              <w:r>
                <w:rPr>
                  <w:sz w:val="24"/>
                  <w:color w:val="0000ff"/>
                </w:rPr>
                <w:t xml:space="preserve">&lt;9&gt;</w:t>
              </w:r>
            </w:hyperlink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использования лесов </w:t>
            </w:r>
            <w:hyperlink w:history="0" w:anchor="P370" w:tooltip="&lt;10&gt; Указывается объем использования лесов (фактические объемы заготовки лесных ресурсов по их видам), с точностью до одного знака после запятой.">
              <w:r>
                <w:rPr>
                  <w:sz w:val="24"/>
                  <w:color w:val="0000ff"/>
                </w:rPr>
                <w:t xml:space="preserve">&lt;10&gt;</w:t>
              </w:r>
            </w:hyperlink>
          </w:p>
        </w:tc>
      </w:tr>
      <w:tr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1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Итого (формируется автоматически)</w:t>
            </w:r>
          </w:p>
        </w:tc>
        <w:tc>
          <w:tcPr>
            <w:tcW w:w="10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IV. Мероприятия, связанные с использованием лесов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34"/>
        <w:gridCol w:w="850"/>
        <w:gridCol w:w="793"/>
        <w:gridCol w:w="1077"/>
        <w:gridCol w:w="907"/>
        <w:gridCol w:w="963"/>
        <w:gridCol w:w="737"/>
        <w:gridCol w:w="963"/>
        <w:gridCol w:w="793"/>
        <w:gridCol w:w="1133"/>
        <w:gridCol w:w="737"/>
        <w:gridCol w:w="737"/>
        <w:gridCol w:w="737"/>
        <w:gridCol w:w="623"/>
        <w:gridCol w:w="907"/>
        <w:gridCol w:w="737"/>
        <w:gridCol w:w="1190"/>
        <w:gridCol w:w="793"/>
      </w:tblGrid>
      <w:tr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объекта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мероприятия </w:t>
            </w:r>
            <w:hyperlink w:history="0" w:anchor="P371" w:tooltip="&lt;11&gt; Указывается наименование мероприятия (создание объектов лесной, охотничьей, лесоперерабатывающей инфраструктуры, строительство, реконструкция, эксплуатация и демонтаж объектов, не связанных с созданием лесной инфраструктуры, рекультивация нарушенных земель).">
              <w:r>
                <w:rPr>
                  <w:sz w:val="24"/>
                  <w:color w:val="0000ff"/>
                </w:rPr>
                <w:t xml:space="preserve">&lt;11&gt;</w:t>
              </w:r>
            </w:hyperlink>
          </w:p>
        </w:tc>
        <w:tc>
          <w:tcPr>
            <w:tcW w:w="79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объекта </w:t>
            </w:r>
            <w:hyperlink w:history="0" w:anchor="P372" w:tooltip="&lt;12&gt; Указывается вид объектов лесной, охотничьей, лесоперерабатывающей инфраструктуры, объектов, не связанных с созданием лесной инфраструктуры.">
              <w:r>
                <w:rPr>
                  <w:sz w:val="24"/>
                  <w:color w:val="0000ff"/>
                </w:rPr>
                <w:t xml:space="preserve">&lt;12&gt;</w:t>
              </w:r>
            </w:hyperlink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лесничества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участкового лесничества</w:t>
            </w:r>
          </w:p>
        </w:tc>
        <w:tc>
          <w:tcPr>
            <w:tcW w:w="96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урочища (при наличии)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лесного квартала</w:t>
            </w:r>
          </w:p>
        </w:tc>
        <w:tc>
          <w:tcPr>
            <w:tcW w:w="96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лесотаксационного выдела</w:t>
            </w:r>
          </w:p>
        </w:tc>
        <w:tc>
          <w:tcPr>
            <w:tcW w:w="79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лесосеки</w:t>
            </w:r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Учетный номер лесотаксационного выдела (кадастровый номер земельного участка из земель сельскохозяйственного назначения)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объекта, га </w:t>
            </w:r>
            <w:hyperlink w:history="0" w:anchor="P373" w:tooltip="&lt;13&gt; Указывается площадь, на которой осуществлено создание, эксплуатация объекта лесной, охотничьей, лесоперерабатывающей инфраструктуры, произведено строительство, реконструкция, эксплуатация объекта, не связанного с созданием лесной инфраструктуры, или произведена рекультивация нарушенных земель, с точностью до четырех знаков после запятой, в гектарах.">
              <w:r>
                <w:rPr>
                  <w:sz w:val="24"/>
                  <w:color w:val="0000ff"/>
                </w:rPr>
                <w:t xml:space="preserve">&lt;13&gt;</w:t>
              </w:r>
            </w:hyperlink>
          </w:p>
        </w:tc>
        <w:tc>
          <w:tcPr>
            <w:gridSpan w:val="7"/>
            <w:tcW w:w="5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Рубка лесных насаждений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Форма рубки</w:t>
            </w:r>
          </w:p>
        </w:tc>
        <w:tc>
          <w:tcPr>
            <w:tcW w:w="6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рубки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древесины</w:t>
            </w:r>
          </w:p>
        </w:tc>
        <w:tc>
          <w:tcPr>
            <w:tcW w:w="11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древесины в соответствии с Общероссийским </w:t>
            </w:r>
            <w:hyperlink w:history="0" r:id="rId19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классификатором</w:t>
              </w:r>
            </w:hyperlink>
            <w:r>
              <w:rPr>
                <w:sz w:val="24"/>
              </w:rPr>
              <w:t xml:space="preserve"> продукции по видам экономической деятельности (ОКПД 2)</w:t>
            </w:r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древесины </w:t>
            </w:r>
            <w:hyperlink w:history="0" w:anchor="P366" w:tooltip="&lt;6&gt; Указывается объем древесины, фактически заготовленной на лесотаксационном выделе, на лесосеке (лесосеках), с точностью до одного знака после запятой, в кубических метрах.">
              <w:r>
                <w:rPr>
                  <w:sz w:val="24"/>
                  <w:color w:val="0000ff"/>
                </w:rPr>
                <w:t xml:space="preserve">&lt;6&gt;</w:t>
              </w:r>
            </w:hyperlink>
          </w:p>
        </w:tc>
      </w:tr>
      <w:tr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9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6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1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7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</w:tr>
      <w:tr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Итого по объекту (формируется автоматически)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2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Итого (формируется автоматически)</w:t>
            </w:r>
          </w:p>
        </w:tc>
        <w:tc>
          <w:tcPr>
            <w:tcW w:w="85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6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3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62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19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79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V. Расположение на местности объектов,</w:t>
      </w:r>
    </w:p>
    <w:p>
      <w:pPr>
        <w:pStyle w:val="0"/>
        <w:jc w:val="center"/>
      </w:pPr>
      <w:r>
        <w:rPr>
          <w:sz w:val="24"/>
        </w:rPr>
        <w:t xml:space="preserve">предусмотренных </w:t>
      </w:r>
      <w:hyperlink w:history="0" r:id="rId2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13</w:t>
        </w:r>
      </w:hyperlink>
      <w:r>
        <w:rPr>
          <w:sz w:val="24"/>
        </w:rPr>
        <w:t xml:space="preserve">, </w:t>
      </w:r>
      <w:hyperlink w:history="0" r:id="rId2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14</w:t>
        </w:r>
      </w:hyperlink>
      <w:r>
        <w:rPr>
          <w:sz w:val="24"/>
        </w:rPr>
        <w:t xml:space="preserve">, </w:t>
      </w:r>
      <w:hyperlink w:history="0" r:id="rId2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21</w:t>
        </w:r>
      </w:hyperlink>
      <w:r>
        <w:rPr>
          <w:sz w:val="24"/>
        </w:rPr>
        <w:t xml:space="preserve"> и </w:t>
      </w:r>
      <w:hyperlink w:history="0" r:id="rId2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21.1</w:t>
        </w:r>
      </w:hyperlink>
      <w:r>
        <w:rPr>
          <w:sz w:val="24"/>
        </w:rPr>
        <w:t xml:space="preserve"> Лесного кодекса</w:t>
      </w:r>
    </w:p>
    <w:p>
      <w:pPr>
        <w:pStyle w:val="0"/>
        <w:jc w:val="center"/>
      </w:pPr>
      <w:r>
        <w:rPr>
          <w:sz w:val="24"/>
        </w:rPr>
        <w:t xml:space="preserve">Российской Федерации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422"/>
        <w:gridCol w:w="4590"/>
        <w:gridCol w:w="4591"/>
      </w:tblGrid>
      <w:tr>
        <w:tc>
          <w:tcPr>
            <w:tcW w:w="44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объекта</w:t>
            </w:r>
          </w:p>
        </w:tc>
        <w:tc>
          <w:tcPr>
            <w:gridSpan w:val="2"/>
            <w:tcW w:w="91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Координата начальной точки линии (столба) (система координат WGS-84) (для лесных участков, расположенных на землях обороны и безопасности, система координат ГСК-2011)</w:t>
            </w:r>
          </w:p>
        </w:tc>
      </w:tr>
      <w:tr>
        <w:tc>
          <w:tcPr>
            <w:vMerge w:val="continue"/>
          </w:tcPr>
          <w:p/>
        </w:tc>
        <w:tc>
          <w:tcPr>
            <w:tcW w:w="45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Долгота (X)</w:t>
            </w:r>
          </w:p>
        </w:tc>
        <w:tc>
          <w:tcPr>
            <w:tcW w:w="45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Широта (Y)</w:t>
            </w:r>
          </w:p>
        </w:tc>
      </w:tr>
      <w:tr>
        <w:tc>
          <w:tcPr>
            <w:tcW w:w="44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45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45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44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59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5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453"/>
        <w:gridCol w:w="4195"/>
        <w:gridCol w:w="453"/>
        <w:gridCol w:w="4081"/>
        <w:gridCol w:w="453"/>
        <w:gridCol w:w="1700"/>
      </w:tblGrid>
      <w:tr>
        <w:tc>
          <w:tcPr>
            <w:gridSpan w:val="7"/>
            <w:tcW w:w="130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Руководитель юридического лица, гражданин, в том числе индивидуальный предприниматель, осуществляющий использование лесов, или их представитель:</w:t>
            </w:r>
          </w:p>
        </w:tc>
      </w:tr>
      <w:tr>
        <w:tc>
          <w:tcPr>
            <w:tcW w:w="170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19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08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170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4195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(должность (при наличии)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408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170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</w:tbl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361" w:name="P361"/>
    <w:bookmarkEnd w:id="36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Указывается в соответствии с принятой органом государственной власти, органом местного самоуправления, определенными в соответствии со </w:t>
      </w:r>
      <w:hyperlink w:history="0" r:id="rId2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2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Федерации, лесной декларацией и таксационным описанием лесосеки.</w:t>
      </w:r>
    </w:p>
    <w:bookmarkStart w:id="362" w:name="P362"/>
    <w:bookmarkEnd w:id="36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Указывается форма рубки (сплошная или выборочная).</w:t>
      </w:r>
    </w:p>
    <w:bookmarkStart w:id="363" w:name="P363"/>
    <w:bookmarkEnd w:id="36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Указывается вид рубки (рубки спелых и перестойных насаждений, рубки ухода за лесами, рубки погибших и поврежденных насаждений, рубки лесных насаждений любого возраста на лесных участках, предназначенных для строительства, реконструкции и эксплуатации объектов, предусмотренных </w:t>
      </w:r>
      <w:hyperlink w:history="0" r:id="rId2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13</w:t>
        </w:r>
      </w:hyperlink>
      <w:r>
        <w:rPr>
          <w:sz w:val="24"/>
        </w:rPr>
        <w:t xml:space="preserve">, </w:t>
      </w:r>
      <w:hyperlink w:history="0" r:id="rId2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14</w:t>
        </w:r>
      </w:hyperlink>
      <w:r>
        <w:rPr>
          <w:sz w:val="24"/>
        </w:rPr>
        <w:t xml:space="preserve">, </w:t>
      </w:r>
      <w:hyperlink w:history="0" r:id="rId2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21</w:t>
        </w:r>
      </w:hyperlink>
      <w:r>
        <w:rPr>
          <w:sz w:val="24"/>
        </w:rPr>
        <w:t xml:space="preserve"> и </w:t>
      </w:r>
      <w:hyperlink w:history="0" r:id="rId2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21.1</w:t>
        </w:r>
      </w:hyperlink>
      <w:r>
        <w:rPr>
          <w:sz w:val="24"/>
        </w:rPr>
        <w:t xml:space="preserve"> Лесного кодекса Российской Федерации, для выполнения работ, предусмотренных </w:t>
      </w:r>
      <w:hyperlink w:history="0" r:id="rId3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статьей 68.3</w:t>
        </w:r>
      </w:hyperlink>
      <w:r>
        <w:rPr>
          <w:sz w:val="24"/>
        </w:rPr>
        <w:t xml:space="preserve"> Лесного кодекса Российской Федерации).</w:t>
      </w:r>
    </w:p>
    <w:bookmarkStart w:id="364" w:name="P364"/>
    <w:bookmarkEnd w:id="36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&lt;4&gt; Указывается хозяйство (хвойное, твердолиственное, мягколиственное).</w:t>
      </w:r>
    </w:p>
    <w:bookmarkStart w:id="365" w:name="P365"/>
    <w:bookmarkEnd w:id="36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&lt;5&gt; Указывается видовой (породный) состав древесины в соответствии с перечнями древесины и продукции ее переработки, определяемых в соответствии с Общероссийским </w:t>
      </w:r>
      <w:hyperlink w:history="0" r:id="rId31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<w:r>
          <w:rPr>
            <w:sz w:val="24"/>
            <w:color w:val="0000ff"/>
          </w:rPr>
          <w:t xml:space="preserve">классификатором</w:t>
        </w:r>
      </w:hyperlink>
      <w:r>
        <w:rPr>
          <w:sz w:val="24"/>
        </w:rPr>
        <w:t xml:space="preserve"> продукции по видам экономической деятельности, единой Товарной </w:t>
      </w:r>
      <w:hyperlink w:history="0" r:id="rId32" w:tooltip="Решение Совета Евразийской экономической комиссии от 14.09.2021 N 80 (ред. от 28.01.2026) &quot;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, а также об изменении и признании утратившими силу некоторых решений Совета Евразийской экономической комиссии&quot; (с изм. и доп., вступ. в силу с 22.02.2026) {КонсультантПлюс}">
        <w:r>
          <w:rPr>
            <w:sz w:val="24"/>
            <w:color w:val="0000ff"/>
          </w:rPr>
          <w:t xml:space="preserve">номенклатурой</w:t>
        </w:r>
      </w:hyperlink>
      <w:r>
        <w:rPr>
          <w:sz w:val="24"/>
        </w:rPr>
        <w:t xml:space="preserve"> внешнеэкономической деятельности Евразийского экономического союза, утвержденными </w:t>
      </w:r>
      <w:hyperlink w:history="0" r:id="rId33" w:tooltip="Распоряжение Правительства РФ от 13.06.2014 N 1047-р (ред. от 11.09.2024) &lt;Об утверждении перечней древесины и продукции ее переработки, определяемых в соответствии с Общероссийским классификатором продукции по видам экономической деятельности и Товарной номенклатурой внешнеэкономической деятельности Евразийского экономического союза&gt; {КонсультантПлюс}">
        <w:r>
          <w:rPr>
            <w:sz w:val="24"/>
            <w:color w:val="0000ff"/>
          </w:rPr>
          <w:t xml:space="preserve">распоряжением</w:t>
        </w:r>
      </w:hyperlink>
      <w:r>
        <w:rPr>
          <w:sz w:val="24"/>
        </w:rPr>
        <w:t xml:space="preserve"> Правительства Российской Федерации от 13.06.2014 N 1047-р.</w:t>
      </w:r>
    </w:p>
    <w:bookmarkStart w:id="366" w:name="P366"/>
    <w:bookmarkEnd w:id="36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&lt;6&gt; Указывается объем древесины, фактически заготовленной на лесотаксационном выделе, на лесосеке (лесосеках), с точностью до одного знака после запятой, в кубических метрах.</w:t>
      </w:r>
    </w:p>
    <w:bookmarkStart w:id="367" w:name="P367"/>
    <w:bookmarkEnd w:id="36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&lt;7&gt; Указывается площадь представленного в пользование лесного участка, в гектарах (с точностью до четырех знаков после запятой).</w:t>
      </w:r>
    </w:p>
    <w:bookmarkStart w:id="368" w:name="P368"/>
    <w:bookmarkEnd w:id="36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&lt;8&gt; Указываются виды заготавливаемых лесных ресурсов (пни, береста, кора деревьев и кустарников, хворост, веточный корм, еловая, пихтовая, сосновая лапы, ели или деревья других хвойных пород для новогодних праздников, мох, лесная подстилка, камыш, тростник и подобные лесные ресурсы; дикорастущие плоды, ягоды, орехи, грибы, семена, березовый сок и подобные лесные ресурсы; плоды, ягоды, декоративные растения, лекарственные растения и подобные лесные ресурсы).</w:t>
      </w:r>
    </w:p>
    <w:bookmarkStart w:id="369" w:name="P369"/>
    <w:bookmarkEnd w:id="36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&lt;9&gt; Указывается единица измерения для заготовки живицы, лесных ресурсов по их видам (недревесных лесных ресурсов, пищевых лесных ресурсов, лекарственных растений), в соответствии с </w:t>
      </w:r>
      <w:hyperlink w:history="0" r:id="rId34" w:tooltip="Постановление Правительства РФ от 22.05.2007 N 310 (ред. от 30.10.2025, с изм. от 13.11.2025) &quot;О ставках платы за единицу объема лесных ресурсов и ставках платы за единицу площади лесного участка, находящегося в федеральной собственност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Правительства Российской Федерации от 22.05.2007 N 310 "О ставках платы за единицу объема лесных ресурсов и ставках платы за единицу площади лесного участка, находящегося в федеральной собственности".</w:t>
      </w:r>
    </w:p>
    <w:bookmarkStart w:id="370" w:name="P370"/>
    <w:bookmarkEnd w:id="37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&lt;10&gt; Указывается объем использования лесов (фактические объемы заготовки лесных ресурсов по их видам), с точностью до одного знака после запятой.</w:t>
      </w:r>
    </w:p>
    <w:bookmarkStart w:id="371" w:name="P371"/>
    <w:bookmarkEnd w:id="37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&lt;11&gt; Указывается наименование мероприятия (создание объектов лесной, охотничьей, лесоперерабатывающей инфраструктуры, строительство, реконструкция, эксплуатация и демонтаж объектов, не связанных с созданием лесной инфраструктуры, рекультивация нарушенных земель).</w:t>
      </w:r>
    </w:p>
    <w:bookmarkStart w:id="372" w:name="P372"/>
    <w:bookmarkEnd w:id="37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&lt;12&gt; Указывается вид объектов лесной, охотничьей, лесоперерабатывающей инфраструктуры, объектов, не связанных с созданием лесной инфраструктуры.</w:t>
      </w:r>
    </w:p>
    <w:bookmarkStart w:id="373" w:name="P373"/>
    <w:bookmarkEnd w:id="37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&lt;13&gt; Указывается площадь, на которой осуществлено создание, эксплуатация объекта лесной, охотничьей, лесоперерабатывающей инфраструктуры, произведено строительство, реконструкция, эксплуатация объекта, не связанного с созданием лесной инфраструктуры, или произведена рекультивация нарушенных земель, с точностью до четырех знаков после запятой, в гектарах.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19.03.2025 N 115</w:t>
      </w:r>
    </w:p>
    <w:p>
      <w:pPr>
        <w:pStyle w:val="0"/>
        <w:jc w:val="both"/>
      </w:pPr>
      <w:r>
        <w:rPr>
          <w:sz w:val="24"/>
        </w:rPr>
      </w:r>
    </w:p>
    <w:bookmarkStart w:id="385" w:name="P385"/>
    <w:bookmarkEnd w:id="385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ПРЕДСТАВЛЕНИЯ ОТЧЕТА ОБ ИСПОЛЬЗОВАНИИ ЛЕСОВ И ФИКСАЦИИ</w:t>
      </w:r>
    </w:p>
    <w:p>
      <w:pPr>
        <w:pStyle w:val="2"/>
        <w:jc w:val="center"/>
      </w:pPr>
      <w:r>
        <w:rPr>
          <w:sz w:val="24"/>
        </w:rPr>
        <w:t xml:space="preserve">ИНФОРМАЦИИ, ВКЛЮЧАЕМОЙ В ОТЧЕТ ОБ ИСПОЛЬЗОВАНИИ ЛЕСОВ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Отчет об использовании лесов (далее - Отчет) представляется гражданами, юридическими лицами, осуществляющими использование лесов, за исключением использования лесов для заготовки древесины, в органы государственной власти, органы местного самоуправления в пределах их полномочий, определенных в соответствии со </w:t>
      </w:r>
      <w:hyperlink w:history="0" r:id="rId3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3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 (далее - Лесной кодекс, уполномоченный орган), в порядке, предусмотренном </w:t>
      </w:r>
      <w:hyperlink w:history="0" r:id="rId3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 статьи 93.5</w:t>
        </w:r>
      </w:hyperlink>
      <w:r>
        <w:rPr>
          <w:sz w:val="24"/>
        </w:rPr>
        <w:t xml:space="preserve"> Лесного кодекса. Отчет формируется гражданами, юридическими лицами, осуществляющими использование лесов для заготовки древесины, с использованием федеральной государственной информационной системы лесного комплекса в соответствии с </w:t>
      </w:r>
      <w:hyperlink w:history="0" r:id="rId3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4 статьи 93.5</w:t>
        </w:r>
      </w:hyperlink>
      <w:r>
        <w:rPr>
          <w:sz w:val="24"/>
        </w:rPr>
        <w:t xml:space="preserve"> Лесного кодекса &lt;1&gt;.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</w:t>
      </w:r>
      <w:hyperlink w:history="0" r:id="rId3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1 статьи 49</w:t>
        </w:r>
      </w:hyperlink>
      <w:r>
        <w:rPr>
          <w:sz w:val="24"/>
        </w:rPr>
        <w:t xml:space="preserve"> Лесного кодекса.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Отчет должен составляться по форме, утвержденной настоящим Приказом </w:t>
      </w:r>
      <w:hyperlink w:history="0" w:anchor="P63" w:tooltip="Отчет об использовании лесов">
        <w:r>
          <w:rPr>
            <w:sz w:val="24"/>
            <w:color w:val="0000ff"/>
          </w:rPr>
          <w:t xml:space="preserve">(приложение N 2)</w:t>
        </w:r>
      </w:hyperlink>
      <w:r>
        <w:rPr>
          <w:sz w:val="24"/>
        </w:rPr>
        <w:t xml:space="preserve">, с учетом требований к формату Отчета в электронной форме </w:t>
      </w:r>
      <w:hyperlink w:history="0" w:anchor="P418" w:tooltip="ТРЕБОВАНИЯ">
        <w:r>
          <w:rPr>
            <w:sz w:val="24"/>
            <w:color w:val="0000ff"/>
          </w:rPr>
          <w:t xml:space="preserve">(приложение N 4)</w:t>
        </w:r>
      </w:hyperlink>
      <w:r>
        <w:rPr>
          <w:sz w:val="24"/>
        </w:rPr>
        <w:t xml:space="preserve">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Отчет должен представляться ежемесячно, в течение 5 рабочих дней, следующих за отчетным периодом. Допускается представление отчета по инициативе лиц, осуществляющих использование лесов, неоднократно в течение отчетного месяца (при использовании лесов в целях заготовки древесины, а также при использовании лесов в иных целях, при которых осуществлялись рубки лесных насаждений), если иное не предусмотрено настоящим Порядком.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случаях, если при использовании лесов не осуществлялись рубки лесных насаждений, Отчет должен представляться ежегодно, в течение 5 рабочих дней, следующих за отчетным периодом.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Граждане, осуществляющие заготовку древесины для собственных нужд на основании договоров купли-продажи лесных насаждений, должны представлять Отчет один раз по итогам окончания лесозаготовительных работ, в течение 5 рабочих дней, следующих за отчетным периодом.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окончания на лесосеках всех видов работ по заготовке древесины в отчетном месяце, Отчет в последующие периоды не представляется.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При заготовке древесины, за исключением заготовки древесины при использовании лесов в соответствии со </w:t>
      </w:r>
      <w:hyperlink w:history="0" r:id="rId4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43</w:t>
        </w:r>
      </w:hyperlink>
      <w:r>
        <w:rPr>
          <w:sz w:val="24"/>
        </w:rPr>
        <w:t xml:space="preserve"> - </w:t>
      </w:r>
      <w:hyperlink w:history="0" r:id="rId4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46</w:t>
        </w:r>
      </w:hyperlink>
      <w:r>
        <w:rPr>
          <w:sz w:val="24"/>
        </w:rPr>
        <w:t xml:space="preserve"> Лесного кодекса, к Отчету прилагаются материалы фотофиксации лесосеки, изготовленные с использованием специального программного обеспечения, указанного в </w:t>
      </w:r>
      <w:hyperlink w:history="0" r:id="rId4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части 6 статьи 19</w:t>
        </w:r>
      </w:hyperlink>
      <w:r>
        <w:rPr>
          <w:sz w:val="24"/>
        </w:rPr>
        <w:t xml:space="preserve"> Лесного кодекса.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Материалы фотофиксации лесосеки прилагаются к Отчету дважды в год - в марте и декабре. В случае окончания на лесосеке всех работ по заготовке древесины, материалы фотофиксации прикладываются только к Отчету за соответствующий отчетный месяц.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Материалы фотофиксации лесосеки должны включать серию фотоснимков, фиксирующих выполнение лесосечных работ. Фотофиксация должна производиться в светлое время суток при отсутствии факторов, ограничивающих видимость (туман, дождь, снег, задымление).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Материалы фотофиксации лесосеки формируются в виде файлов в форматах Png или Jpeg.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Материалы фотофиксации лесосеки должны быть выполнены в не менее чем 24-битном цветовом формате, с разрешением не менее 1920 x 1080 с количеством мегапикселей не менее 2.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Фотофиксация лесосеки должна осуществляться из поворотных точек ее границ по часовой стрелке, начиная от столба на углу лесосеки, к которому произведена инструментальная привязка к квартальным просекам, таксационным визирам или другим постоянным ориентирам. Из каждой поворотной точки должны производиться 2 снимка (один в сторону следующей поворотной точки, второй вглубь лесосеки) и одновременная фиксация координат поворотной точки. Количество точек съемки не должно превышать 12.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состав Отчета включается акт заключительного осмотра лесосеки, который составляется в форме электронного документа, подписанного усиленной квалифицированной электронной подписью, и в состав которого включаются материалы фотофиксации осмотра лесосеки, изготовленные с использованием специального программного обеспечения в соответствии с требованиями, установленными </w:t>
      </w:r>
      <w:hyperlink w:history="0" r:id="rId4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6 статьи 19</w:t>
        </w:r>
      </w:hyperlink>
      <w:r>
        <w:rPr>
          <w:sz w:val="24"/>
        </w:rPr>
        <w:t xml:space="preserve"> Лесного кодекса &lt;2&gt;.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</w:t>
      </w:r>
      <w:hyperlink w:history="0" r:id="rId4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9 статьи 23.2</w:t>
        </w:r>
      </w:hyperlink>
      <w:r>
        <w:rPr>
          <w:sz w:val="24"/>
        </w:rPr>
        <w:t xml:space="preserve"> Лесного кодекса.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19.03.2025 N 115</w:t>
      </w:r>
    </w:p>
    <w:p>
      <w:pPr>
        <w:pStyle w:val="0"/>
        <w:jc w:val="both"/>
      </w:pPr>
      <w:r>
        <w:rPr>
          <w:sz w:val="24"/>
        </w:rPr>
      </w:r>
    </w:p>
    <w:bookmarkStart w:id="418" w:name="P418"/>
    <w:bookmarkEnd w:id="418"/>
    <w:p>
      <w:pPr>
        <w:pStyle w:val="2"/>
        <w:jc w:val="center"/>
      </w:pPr>
      <w:r>
        <w:rPr>
          <w:sz w:val="24"/>
        </w:rPr>
        <w:t xml:space="preserve">ТРЕБОВАНИЯ</w:t>
      </w:r>
    </w:p>
    <w:p>
      <w:pPr>
        <w:pStyle w:val="2"/>
        <w:jc w:val="center"/>
      </w:pPr>
      <w:r>
        <w:rPr>
          <w:sz w:val="24"/>
        </w:rPr>
        <w:t xml:space="preserve">К ФОРМАТУ ОТЧЕТА ОБ ИСПОЛЬЗОВАНИИ ЛЕСОВ В ЭЛЕКТРОННОЙ ФОРМЕ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Отчет об использовании лесов в форме электронного документа формируется в виде файлов в формате XML, созданных с использованием XSD-схем и обеспечивающих считывание и контроль представленных данных.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Создание XSD-схем осуществляется в соответствии с техническими требованиями к взаимодействию информационных систем в единой системе межведомственного электронного взаимодействия, утверждаемыми в соответствии с </w:t>
      </w:r>
      <w:hyperlink w:history="0" r:id="rId45" w:tooltip="Постановление Правительства РФ от 08.09.2010 N 697 (ред. от 30.10.2025) &quot;О единой системе межведомственного электронного взаимодействия&quot; (вместе с &quot;Положением о единой системе межведомственного электронного взаимодействия&quot;) {КонсультантПлюс}">
        <w:r>
          <w:rPr>
            <w:sz w:val="24"/>
            <w:color w:val="0000ff"/>
          </w:rPr>
          <w:t xml:space="preserve">пунктом 2</w:t>
        </w:r>
      </w:hyperlink>
      <w:r>
        <w:rPr>
          <w:sz w:val="24"/>
        </w:rPr>
        <w:t xml:space="preserve"> постановления Правительства Российской Федерации от 08.09.2010 N 697 "О единой системе межведомственного электронного взаимодействия".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19.03.2025 N 115</w:t>
            <w:br/>
            <w:t>"Об утверждении перечня информации, включаемой в отчет об использовании лес...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19.03.2025 N 115</w:t>
            <w:br/>
            <w:t>"Об утверждении перечня информации, включаемой в отчет об использовании лес...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23312&amp;date=25.02.2026&amp;dst=464&amp;field=134" TargetMode = "External"/><Relationship Id="rId9" Type="http://schemas.openxmlformats.org/officeDocument/2006/relationships/hyperlink" Target="https://login.consultant.ru/link/?req=doc&amp;base=LAW&amp;n=500820&amp;date=25.02.2026&amp;dst=25&amp;field=134" TargetMode = "External"/><Relationship Id="rId10" Type="http://schemas.openxmlformats.org/officeDocument/2006/relationships/hyperlink" Target="https://login.consultant.ru/link/?req=doc&amp;base=LAW&amp;n=286062&amp;date=25.02.2026" TargetMode = "External"/><Relationship Id="rId11" Type="http://schemas.openxmlformats.org/officeDocument/2006/relationships/hyperlink" Target="https://login.consultant.ru/link/?req=doc&amp;base=LAW&amp;n=523312&amp;date=25.02.2026&amp;dst=100141&amp;field=134" TargetMode = "External"/><Relationship Id="rId12" Type="http://schemas.openxmlformats.org/officeDocument/2006/relationships/hyperlink" Target="https://login.consultant.ru/link/?req=doc&amp;base=LAW&amp;n=523312&amp;date=25.02.2026&amp;dst=440&amp;field=134" TargetMode = "External"/><Relationship Id="rId13" Type="http://schemas.openxmlformats.org/officeDocument/2006/relationships/hyperlink" Target="https://login.consultant.ru/link/?req=doc&amp;base=LAW&amp;n=523312&amp;date=25.02.2026&amp;dst=1275&amp;field=134" TargetMode = "External"/><Relationship Id="rId14" Type="http://schemas.openxmlformats.org/officeDocument/2006/relationships/hyperlink" Target="https://login.consultant.ru/link/?req=doc&amp;base=LAW&amp;n=523312&amp;date=25.02.2026&amp;dst=1553&amp;field=134" TargetMode = "External"/><Relationship Id="rId15" Type="http://schemas.openxmlformats.org/officeDocument/2006/relationships/hyperlink" Target="https://login.consultant.ru/link/?req=doc&amp;base=LAW&amp;n=523312&amp;date=25.02.2026&amp;dst=1729&amp;field=134" TargetMode = "External"/><Relationship Id="rId16" Type="http://schemas.openxmlformats.org/officeDocument/2006/relationships/header" Target="header2.xml"/><Relationship Id="rId17" Type="http://schemas.openxmlformats.org/officeDocument/2006/relationships/footer" Target="footer2.xml"/><Relationship Id="rId18" Type="http://schemas.openxmlformats.org/officeDocument/2006/relationships/hyperlink" Target="https://login.consultant.ru/link/?req=doc&amp;base=LAW&amp;n=527025&amp;date=25.02.2026" TargetMode = "External"/><Relationship Id="rId19" Type="http://schemas.openxmlformats.org/officeDocument/2006/relationships/hyperlink" Target="https://login.consultant.ru/link/?req=doc&amp;base=LAW&amp;n=527025&amp;date=25.02.2026" TargetMode = "External"/><Relationship Id="rId20" Type="http://schemas.openxmlformats.org/officeDocument/2006/relationships/hyperlink" Target="https://login.consultant.ru/link/?req=doc&amp;base=LAW&amp;n=523312&amp;date=25.02.2026&amp;dst=440&amp;field=134" TargetMode = "External"/><Relationship Id="rId21" Type="http://schemas.openxmlformats.org/officeDocument/2006/relationships/hyperlink" Target="https://login.consultant.ru/link/?req=doc&amp;base=LAW&amp;n=523312&amp;date=25.02.2026&amp;dst=1275&amp;field=134" TargetMode = "External"/><Relationship Id="rId22" Type="http://schemas.openxmlformats.org/officeDocument/2006/relationships/hyperlink" Target="https://login.consultant.ru/link/?req=doc&amp;base=LAW&amp;n=523312&amp;date=25.02.2026&amp;dst=1553&amp;field=134" TargetMode = "External"/><Relationship Id="rId23" Type="http://schemas.openxmlformats.org/officeDocument/2006/relationships/hyperlink" Target="https://login.consultant.ru/link/?req=doc&amp;base=LAW&amp;n=523312&amp;date=25.02.2026&amp;dst=1729&amp;field=134" TargetMode = "External"/><Relationship Id="rId24" Type="http://schemas.openxmlformats.org/officeDocument/2006/relationships/hyperlink" Target="https://login.consultant.ru/link/?req=doc&amp;base=LAW&amp;n=523312&amp;date=25.02.2026&amp;dst=101109&amp;field=134" TargetMode = "External"/><Relationship Id="rId25" Type="http://schemas.openxmlformats.org/officeDocument/2006/relationships/hyperlink" Target="https://login.consultant.ru/link/?req=doc&amp;base=LAW&amp;n=523312&amp;date=25.02.2026&amp;dst=100562&amp;field=134" TargetMode = "External"/><Relationship Id="rId26" Type="http://schemas.openxmlformats.org/officeDocument/2006/relationships/hyperlink" Target="https://login.consultant.ru/link/?req=doc&amp;base=LAW&amp;n=523312&amp;date=25.02.2026&amp;dst=440&amp;field=134" TargetMode = "External"/><Relationship Id="rId27" Type="http://schemas.openxmlformats.org/officeDocument/2006/relationships/hyperlink" Target="https://login.consultant.ru/link/?req=doc&amp;base=LAW&amp;n=523312&amp;date=25.02.2026&amp;dst=1275&amp;field=134" TargetMode = "External"/><Relationship Id="rId28" Type="http://schemas.openxmlformats.org/officeDocument/2006/relationships/hyperlink" Target="https://login.consultant.ru/link/?req=doc&amp;base=LAW&amp;n=523312&amp;date=25.02.2026&amp;dst=1553&amp;field=134" TargetMode = "External"/><Relationship Id="rId29" Type="http://schemas.openxmlformats.org/officeDocument/2006/relationships/hyperlink" Target="https://login.consultant.ru/link/?req=doc&amp;base=LAW&amp;n=523312&amp;date=25.02.2026&amp;dst=1729&amp;field=134" TargetMode = "External"/><Relationship Id="rId30" Type="http://schemas.openxmlformats.org/officeDocument/2006/relationships/hyperlink" Target="https://login.consultant.ru/link/?req=doc&amp;base=LAW&amp;n=523312&amp;date=25.02.2026&amp;dst=1479&amp;field=134" TargetMode = "External"/><Relationship Id="rId31" Type="http://schemas.openxmlformats.org/officeDocument/2006/relationships/hyperlink" Target="https://login.consultant.ru/link/?req=doc&amp;base=LAW&amp;n=527025&amp;date=25.02.2026" TargetMode = "External"/><Relationship Id="rId32" Type="http://schemas.openxmlformats.org/officeDocument/2006/relationships/hyperlink" Target="https://login.consultant.ru/link/?req=doc&amp;base=LAW&amp;n=524989&amp;date=25.02.2026&amp;dst=100162&amp;field=134" TargetMode = "External"/><Relationship Id="rId33" Type="http://schemas.openxmlformats.org/officeDocument/2006/relationships/hyperlink" Target="https://login.consultant.ru/link/?req=doc&amp;base=LAW&amp;n=485657&amp;date=25.02.2026" TargetMode = "External"/><Relationship Id="rId34" Type="http://schemas.openxmlformats.org/officeDocument/2006/relationships/hyperlink" Target="https://login.consultant.ru/link/?req=doc&amp;base=LAW&amp;n=518214&amp;date=25.02.2026" TargetMode = "External"/><Relationship Id="rId35" Type="http://schemas.openxmlformats.org/officeDocument/2006/relationships/hyperlink" Target="https://login.consultant.ru/link/?req=doc&amp;base=LAW&amp;n=523312&amp;date=25.02.2026&amp;dst=101109&amp;field=134" TargetMode = "External"/><Relationship Id="rId36" Type="http://schemas.openxmlformats.org/officeDocument/2006/relationships/hyperlink" Target="https://login.consultant.ru/link/?req=doc&amp;base=LAW&amp;n=523312&amp;date=25.02.2026&amp;dst=100562&amp;field=134" TargetMode = "External"/><Relationship Id="rId37" Type="http://schemas.openxmlformats.org/officeDocument/2006/relationships/hyperlink" Target="https://login.consultant.ru/link/?req=doc&amp;base=LAW&amp;n=523312&amp;date=25.02.2026&amp;dst=1971&amp;field=134" TargetMode = "External"/><Relationship Id="rId38" Type="http://schemas.openxmlformats.org/officeDocument/2006/relationships/hyperlink" Target="https://login.consultant.ru/link/?req=doc&amp;base=LAW&amp;n=523312&amp;date=25.02.2026&amp;dst=1867&amp;field=134" TargetMode = "External"/><Relationship Id="rId39" Type="http://schemas.openxmlformats.org/officeDocument/2006/relationships/hyperlink" Target="https://login.consultant.ru/link/?req=doc&amp;base=LAW&amp;n=523312&amp;date=25.02.2026&amp;dst=1763&amp;field=134" TargetMode = "External"/><Relationship Id="rId40" Type="http://schemas.openxmlformats.org/officeDocument/2006/relationships/hyperlink" Target="https://login.consultant.ru/link/?req=doc&amp;base=LAW&amp;n=523312&amp;date=25.02.2026&amp;dst=906&amp;field=134" TargetMode = "External"/><Relationship Id="rId41" Type="http://schemas.openxmlformats.org/officeDocument/2006/relationships/hyperlink" Target="https://login.consultant.ru/link/?req=doc&amp;base=LAW&amp;n=523312&amp;date=25.02.2026&amp;dst=1591&amp;field=134" TargetMode = "External"/><Relationship Id="rId42" Type="http://schemas.openxmlformats.org/officeDocument/2006/relationships/hyperlink" Target="https://login.consultant.ru/link/?req=doc&amp;base=LAW&amp;n=523312&amp;date=25.02.2026&amp;dst=1885&amp;field=134" TargetMode = "External"/><Relationship Id="rId43" Type="http://schemas.openxmlformats.org/officeDocument/2006/relationships/hyperlink" Target="https://login.consultant.ru/link/?req=doc&amp;base=LAW&amp;n=523312&amp;date=25.02.2026&amp;dst=1885&amp;field=134" TargetMode = "External"/><Relationship Id="rId44" Type="http://schemas.openxmlformats.org/officeDocument/2006/relationships/hyperlink" Target="https://login.consultant.ru/link/?req=doc&amp;base=LAW&amp;n=523312&amp;date=25.02.2026&amp;dst=1382&amp;field=134" TargetMode = "External"/><Relationship Id="rId45" Type="http://schemas.openxmlformats.org/officeDocument/2006/relationships/hyperlink" Target="https://login.consultant.ru/link/?req=doc&amp;base=LAW&amp;n=517937&amp;date=25.02.2026&amp;dst=12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19.03.2025 N 115
"Об утверждении перечня информации, включаемой в отчет об использовании лесов, порядка фиксации этой информации, формы и порядка представления отчета об использовании лесов, а также требований к формату отчета об использовании лесов в электронной форме"
(Зарегистрировано в Минюсте России 11.04.2025 N 81811)</dc:title>
  <dcterms:created xsi:type="dcterms:W3CDTF">2026-02-25T09:52:25Z</dcterms:created>
</cp:coreProperties>
</file>